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立替払申請書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払戻し先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立替日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支払先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用途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勘定科目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金額(税込)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832"/>
            <w:gridSpan w:val="4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</w:t>
            </w:r>
          </w:p>
        </w:tc>
        <w:tc>
          <w:tcPr>
            <w:tcW w:type="dxa" w:w="1458"/>
          </w:tcPr>
          <w:p/>
        </w:tc>
        <w:tc>
          <w:tcPr>
            <w:tcW w:type="dxa" w:w="1458"/>
          </w:tcPr>
          <w:p/>
        </w:tc>
        <w:tc>
          <w:tcPr>
            <w:tcW w:type="dxa" w:w="1458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領収書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払戻し先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経費精算書とほぼ同じだが、立替えた本人への払戻し先（現金／給与振込など）を明記する。切手・印紙など消費税が非課税のものは税率欄に「非課税」と記入すると集計が正確。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立替払申請書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令和8年6月2日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総務部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払戻し先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給与口座へ振込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58"/>
        <w:gridCol w:w="1458"/>
        <w:gridCol w:w="1458"/>
        <w:gridCol w:w="1458"/>
        <w:gridCol w:w="1458"/>
        <w:gridCol w:w="1458"/>
        <w:gridCol w:w="1458"/>
      </w:tblGrid>
      <w:tr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立替日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支払先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用途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勘定科目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金額(税込)</w:t>
            </w:r>
          </w:p>
        </w:tc>
        <w:tc>
          <w:tcPr>
            <w:tcW w:type="dxa" w:w="1458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税率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5/10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みどり電器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会議室の延長コード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消耗品費</w:t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2,200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10%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5/14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さくら郵便局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切手購入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通信費</w:t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1,000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非課税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5/16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あおぞら駐車場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来客対応の駐車代</w:t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雑費</w:t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660</w:t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10%</w:t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1458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832"/>
            <w:gridSpan w:val="4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合計</w:t>
            </w:r>
          </w:p>
        </w:tc>
        <w:tc>
          <w:tcPr>
            <w:tcW w:type="dxa" w:w="1458"/>
          </w:tcPr>
          <w:p/>
        </w:tc>
        <w:tc>
          <w:tcPr>
            <w:tcW w:type="dxa" w:w="1458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3,860</w:t>
            </w:r>
          </w:p>
        </w:tc>
        <w:tc>
          <w:tcPr>
            <w:tcW w:type="dxa" w:w="1458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領収書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3枚 添付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払戻し先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給与口座へ振込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経費精算書とほぼ同じだが、立替えた本人への払戻し先（現金／給与振込など）を明記する。切手・印紙など消費税が非課税のものは税率欄に「非課税」と記入すると集計が正確。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立替払申請書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2026-06-08T09:43:04Z</dcterms:created>
  <dcterms:modified xsi:type="dcterms:W3CDTF">2026-06-08T09:43:04Z</dcterms:modified>
  <cp:category>申請書テンプレート</cp:category>
</cp:coreProperties>
</file>