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仮払金精算書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仮払金額（A）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支払日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摘要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6804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使用合計（B）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差額（A－B）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精算方法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仮払金精算書は、前渡しした仮払金（A）の使い道を領収書とともに報告し、過不足を精算するための書類。差額（A－B）がプラス（余り）なら会社へ返金、マイナス（不足）なら会社が追加支給する。領収書を必ず添付し、精算と同時に返金・追加支給まで済ませて仮払金の残高をゼロにする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仮払金精算書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令和8年5月22日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仮払金額（A）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50,000円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5/20～5/21　大阪出張（みなと商事との商談）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支払日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摘要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70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5/20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JR東海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新幹線（東京⇔新大阪）往復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旅費交通費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27,600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5/20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なにわステーションホテル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宿泊費　1泊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旅費交通費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11,000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5/21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大阪第一タクシー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現地移動</w:t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旅費交通費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2,400</w:t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6804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使用合計（B）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41,000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差額（A－B）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9,000円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精算方法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会社へ返金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仮払金精算書は、前渡しした仮払金（A）の使い道を領収書とともに報告し、過不足を精算するための書類。差額（A－B）がプラス（余り）なら会社へ返金、マイナス（不足）なら会社が追加支給する。領収書を必ず添付し、精算と同時に返金・追加支給まで済ませて仮払金の残高をゼロにする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仮払金精算書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2026-06-13T03:44:56Z</dcterms:created>
  <dcterms:modified xsi:type="dcterms:W3CDTF">2026-06-13T03:44:56Z</dcterms:modified>
  <cp:category>申請書テンプレート</cp:category>
</cp:coreProperties>
</file>